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95CE" w14:textId="77777777" w:rsidR="003725A5" w:rsidRPr="009878B9" w:rsidRDefault="000D0703" w:rsidP="00CB7BB1">
      <w:pPr>
        <w:pBdr>
          <w:top w:val="single" w:sz="4" w:space="1" w:color="auto"/>
          <w:left w:val="single" w:sz="4" w:space="4" w:color="auto"/>
          <w:bottom w:val="single" w:sz="4" w:space="0" w:color="auto"/>
          <w:right w:val="single" w:sz="4" w:space="4" w:color="auto"/>
        </w:pBdr>
        <w:rPr>
          <w:rStyle w:val="Hyperlink"/>
          <w:color w:val="auto"/>
          <w:u w:val="none"/>
        </w:rPr>
      </w:pPr>
      <w:r w:rsidRPr="009878B9">
        <w:t>Supplier must comply with</w:t>
      </w:r>
      <w:r w:rsidR="0040338C" w:rsidRPr="009878B9">
        <w:t xml:space="preserve"> </w:t>
      </w:r>
      <w:hyperlink r:id="rId8" w:history="1">
        <w:r w:rsidR="0040338C" w:rsidRPr="009878B9">
          <w:rPr>
            <w:rStyle w:val="Hyperlink"/>
            <w:color w:val="auto"/>
          </w:rPr>
          <w:t>CFN Standard Purchase Order Terms and Conditions</w:t>
        </w:r>
      </w:hyperlink>
      <w:r w:rsidR="0040338C" w:rsidRPr="009878B9">
        <w:t xml:space="preserve"> and</w:t>
      </w:r>
      <w:r w:rsidR="001D3184" w:rsidRPr="009878B9">
        <w:t xml:space="preserve"> </w:t>
      </w:r>
      <w:hyperlink r:id="rId9" w:history="1">
        <w:r w:rsidR="0040338C" w:rsidRPr="009878B9">
          <w:rPr>
            <w:rStyle w:val="Hyperlink"/>
            <w:color w:val="auto"/>
          </w:rPr>
          <w:t>CFN-QA-SQR-0001 Supplier Quality Requirements Manual</w:t>
        </w:r>
      </w:hyperlink>
      <w:r w:rsidR="004D7BB5" w:rsidRPr="009878B9">
        <w:rPr>
          <w:rStyle w:val="Hyperlink"/>
          <w:color w:val="auto"/>
        </w:rPr>
        <w:t>.</w:t>
      </w:r>
      <w:r w:rsidR="004D7BB5" w:rsidRPr="009878B9">
        <w:rPr>
          <w:rStyle w:val="Hyperlink"/>
          <w:color w:val="auto"/>
          <w:u w:val="none"/>
        </w:rPr>
        <w:t xml:space="preserve">  Refer CFN website </w:t>
      </w:r>
      <w:hyperlink r:id="rId10" w:history="1">
        <w:r w:rsidR="004D7BB5" w:rsidRPr="009878B9">
          <w:rPr>
            <w:rStyle w:val="Hyperlink"/>
            <w:color w:val="auto"/>
          </w:rPr>
          <w:t>www.cfnprecision.com</w:t>
        </w:r>
      </w:hyperlink>
      <w:r w:rsidR="001A7975" w:rsidRPr="009878B9">
        <w:rPr>
          <w:rStyle w:val="Hyperlink"/>
          <w:color w:val="auto"/>
          <w:u w:val="none"/>
        </w:rPr>
        <w:t>, suppliers tab.</w:t>
      </w:r>
    </w:p>
    <w:p w14:paraId="47BED794" w14:textId="51170A0C" w:rsidR="009878B9" w:rsidRPr="008E2A97" w:rsidRDefault="00DF419D" w:rsidP="00CB7BB1">
      <w:pPr>
        <w:pBdr>
          <w:top w:val="single" w:sz="4" w:space="1" w:color="auto"/>
          <w:left w:val="single" w:sz="4" w:space="4" w:color="auto"/>
          <w:bottom w:val="single" w:sz="4" w:space="0" w:color="auto"/>
          <w:right w:val="single" w:sz="4" w:space="4" w:color="auto"/>
        </w:pBdr>
        <w:rPr>
          <w:rFonts w:ascii="Calibri" w:eastAsia="Calibri" w:hAnsi="Calibri" w:cs="Times New Roman"/>
        </w:rPr>
      </w:pPr>
      <w:r w:rsidRPr="00DF419D">
        <w:rPr>
          <w:rFonts w:ascii="Calibri" w:eastAsia="Calibri" w:hAnsi="Calibri" w:cs="Times New Roman"/>
          <w:color w:val="0070C0"/>
        </w:rPr>
        <w:t>Collins</w:t>
      </w:r>
      <w:r>
        <w:rPr>
          <w:rFonts w:ascii="Calibri" w:eastAsia="Calibri" w:hAnsi="Calibri" w:cs="Times New Roman"/>
        </w:rPr>
        <w:t xml:space="preserve"> </w:t>
      </w:r>
      <w:r w:rsidR="009878B9" w:rsidRPr="008E2A97">
        <w:rPr>
          <w:rFonts w:ascii="Calibri" w:eastAsia="Calibri" w:hAnsi="Calibri" w:cs="Times New Roman"/>
        </w:rPr>
        <w:t xml:space="preserve">Documents </w:t>
      </w:r>
      <w:r w:rsidR="009878B9" w:rsidRPr="00DF419D">
        <w:rPr>
          <w:rFonts w:ascii="Calibri" w:eastAsia="Calibri" w:hAnsi="Calibri" w:cs="Times New Roman"/>
          <w:color w:val="0070C0"/>
        </w:rPr>
        <w:t>LS-SBU-A001-SQ</w:t>
      </w:r>
      <w:r w:rsidRPr="00DF419D">
        <w:rPr>
          <w:rFonts w:ascii="Calibri" w:eastAsia="Calibri" w:hAnsi="Calibri" w:cs="Times New Roman"/>
          <w:color w:val="0070C0"/>
        </w:rPr>
        <w:t>M</w:t>
      </w:r>
      <w:r w:rsidR="009878B9" w:rsidRPr="00DF419D">
        <w:rPr>
          <w:rFonts w:ascii="Calibri" w:eastAsia="Calibri" w:hAnsi="Calibri" w:cs="Times New Roman"/>
          <w:color w:val="0070C0"/>
        </w:rPr>
        <w:t xml:space="preserve"> </w:t>
      </w:r>
      <w:r w:rsidR="009878B9" w:rsidRPr="008E2A97">
        <w:rPr>
          <w:rFonts w:ascii="Calibri" w:eastAsia="Calibri" w:hAnsi="Calibri" w:cs="Times New Roman"/>
        </w:rPr>
        <w:t xml:space="preserve">and </w:t>
      </w:r>
      <w:r w:rsidRPr="00DF419D">
        <w:rPr>
          <w:rFonts w:ascii="Calibri" w:eastAsia="Calibri" w:hAnsi="Calibri" w:cs="Times New Roman"/>
          <w:color w:val="0070C0"/>
        </w:rPr>
        <w:t xml:space="preserve">COL-ASQR-PRO-0003 </w:t>
      </w:r>
      <w:r>
        <w:rPr>
          <w:rFonts w:ascii="Calibri" w:eastAsia="Calibri" w:hAnsi="Calibri" w:cs="Times New Roman"/>
        </w:rPr>
        <w:t>(</w:t>
      </w:r>
      <w:r w:rsidRPr="008E2A97">
        <w:rPr>
          <w:rFonts w:ascii="Calibri" w:eastAsia="Calibri" w:hAnsi="Calibri" w:cs="Times New Roman"/>
        </w:rPr>
        <w:t xml:space="preserve">replacing </w:t>
      </w:r>
      <w:r w:rsidR="009878B9" w:rsidRPr="008E2A97">
        <w:rPr>
          <w:rFonts w:ascii="Calibri" w:eastAsia="Calibri" w:hAnsi="Calibri" w:cs="Times New Roman"/>
        </w:rPr>
        <w:t>UTAS-SCM-PRO-0003-00)</w:t>
      </w:r>
      <w:r>
        <w:rPr>
          <w:rFonts w:ascii="Calibri" w:eastAsia="Calibri" w:hAnsi="Calibri" w:cs="Times New Roman"/>
        </w:rPr>
        <w:t xml:space="preserve"> </w:t>
      </w:r>
      <w:r w:rsidR="009878B9" w:rsidRPr="008E2A97">
        <w:rPr>
          <w:rFonts w:ascii="Calibri" w:eastAsia="Calibri" w:hAnsi="Calibri" w:cs="Times New Roman"/>
        </w:rPr>
        <w:t>apply.</w:t>
      </w:r>
    </w:p>
    <w:p w14:paraId="7F611723" w14:textId="77777777" w:rsidR="00B040C3" w:rsidRPr="009878B9" w:rsidRDefault="00352634" w:rsidP="00CB7BB1">
      <w:pPr>
        <w:pBdr>
          <w:top w:val="single" w:sz="4" w:space="1" w:color="auto"/>
          <w:left w:val="single" w:sz="4" w:space="4" w:color="auto"/>
          <w:bottom w:val="single" w:sz="4" w:space="0" w:color="auto"/>
          <w:right w:val="single" w:sz="4" w:space="4" w:color="auto"/>
        </w:pBdr>
      </w:pPr>
      <w:r w:rsidRPr="009878B9">
        <w:t>Supplied item/process</w:t>
      </w:r>
      <w:r w:rsidR="00FC607E" w:rsidRPr="009878B9">
        <w:t xml:space="preserve">/services </w:t>
      </w:r>
      <w:r w:rsidR="000A3BB1" w:rsidRPr="009878B9">
        <w:t>shall</w:t>
      </w:r>
      <w:r w:rsidRPr="009878B9">
        <w:t xml:space="preserve"> be to </w:t>
      </w:r>
      <w:r w:rsidR="000A3BB1" w:rsidRPr="009878B9">
        <w:t xml:space="preserve">the </w:t>
      </w:r>
      <w:r w:rsidRPr="009878B9">
        <w:t xml:space="preserve">latest </w:t>
      </w:r>
      <w:r w:rsidR="00B040C3" w:rsidRPr="009878B9">
        <w:t>specification.</w:t>
      </w:r>
      <w:r w:rsidR="00CB7BB1">
        <w:t xml:space="preserve"> </w:t>
      </w:r>
      <w:r w:rsidR="00CB7BB1" w:rsidRPr="008E2A97">
        <w:t xml:space="preserve">For Boeing specifications refer CFN-QA-SQR-0006, refer CFN website </w:t>
      </w:r>
      <w:hyperlink r:id="rId11" w:history="1">
        <w:r w:rsidR="00CB7BB1" w:rsidRPr="008E2A97">
          <w:rPr>
            <w:rStyle w:val="Hyperlink"/>
            <w:color w:val="auto"/>
          </w:rPr>
          <w:t>www.cfnprecision.com</w:t>
        </w:r>
      </w:hyperlink>
      <w:r w:rsidR="00CB7BB1" w:rsidRPr="008E2A97">
        <w:t xml:space="preserve">  suppliers tab.</w:t>
      </w:r>
    </w:p>
    <w:p w14:paraId="4AC199C4" w14:textId="489FD6D7" w:rsidR="00CC44A4" w:rsidRPr="009878B9" w:rsidRDefault="00352634" w:rsidP="00CB7BB1">
      <w:pPr>
        <w:pBdr>
          <w:top w:val="single" w:sz="4" w:space="1" w:color="auto"/>
          <w:left w:val="single" w:sz="4" w:space="4" w:color="auto"/>
          <w:bottom w:val="single" w:sz="4" w:space="0" w:color="auto"/>
          <w:right w:val="single" w:sz="4" w:space="4" w:color="auto"/>
        </w:pBdr>
      </w:pPr>
      <w:r w:rsidRPr="009878B9">
        <w:t xml:space="preserve">Special process suppliers shall </w:t>
      </w:r>
      <w:r w:rsidR="000A3BB1" w:rsidRPr="009878B9">
        <w:t xml:space="preserve">work to approved MPS/Technical Plan/Technique sheet and revision as applicable and </w:t>
      </w:r>
      <w:r w:rsidRPr="009878B9">
        <w:t xml:space="preserve">be listed </w:t>
      </w:r>
      <w:r w:rsidR="00DF419D" w:rsidRPr="009878B9">
        <w:t>in</w:t>
      </w:r>
      <w:r w:rsidRPr="009878B9">
        <w:t xml:space="preserve"> </w:t>
      </w:r>
      <w:r w:rsidR="00DF419D" w:rsidRPr="00DF419D">
        <w:rPr>
          <w:color w:val="0070C0"/>
        </w:rPr>
        <w:t>COLLINS</w:t>
      </w:r>
      <w:r w:rsidRPr="009878B9">
        <w:t xml:space="preserve"> Document 200 for the process an</w:t>
      </w:r>
      <w:r w:rsidR="00CC44A4" w:rsidRPr="009878B9">
        <w:t xml:space="preserve">d specification being performed. </w:t>
      </w:r>
      <w:r w:rsidR="007E2728" w:rsidRPr="009878B9">
        <w:t xml:space="preserve">Note for </w:t>
      </w:r>
      <w:r w:rsidR="00DF419D" w:rsidRPr="00DF419D">
        <w:rPr>
          <w:color w:val="0070C0"/>
        </w:rPr>
        <w:t>COLLINS</w:t>
      </w:r>
      <w:r w:rsidR="007E2728" w:rsidRPr="00DF419D">
        <w:rPr>
          <w:color w:val="0070C0"/>
        </w:rPr>
        <w:t xml:space="preserve"> </w:t>
      </w:r>
      <w:r w:rsidR="007E2728" w:rsidRPr="009878B9">
        <w:t xml:space="preserve">customer specifications such as Boeing or Lockheed, the supplier must maintain the applicable </w:t>
      </w:r>
      <w:r w:rsidR="00DF419D" w:rsidRPr="00DF419D">
        <w:rPr>
          <w:color w:val="0070C0"/>
        </w:rPr>
        <w:t>COLLINS</w:t>
      </w:r>
      <w:r w:rsidR="007E2728" w:rsidRPr="009878B9">
        <w:t xml:space="preserve"> customer approval.</w:t>
      </w:r>
      <w:r w:rsidR="0038251C" w:rsidRPr="009878B9">
        <w:t xml:space="preserve"> For Boeing D</w:t>
      </w:r>
      <w:r w:rsidR="002D29A5" w:rsidRPr="009878B9">
        <w:t>1</w:t>
      </w:r>
      <w:r w:rsidR="0038251C" w:rsidRPr="009878B9">
        <w:t xml:space="preserve">-4426 Processes refer </w:t>
      </w:r>
      <w:r w:rsidR="00052466" w:rsidRPr="009878B9">
        <w:t xml:space="preserve">to </w:t>
      </w:r>
      <w:r w:rsidR="000D0703" w:rsidRPr="009878B9">
        <w:t xml:space="preserve">the following link for a list of approved processors and information regarding Nadcap approval requirements: </w:t>
      </w:r>
      <w:hyperlink r:id="rId12" w:history="1">
        <w:r w:rsidR="000D4728" w:rsidRPr="009878B9">
          <w:rPr>
            <w:rStyle w:val="Hyperlink"/>
            <w:color w:val="auto"/>
          </w:rPr>
          <w:t>http://www.boeing.com/companyoffices/doingbiz/d14426/index.html</w:t>
        </w:r>
      </w:hyperlink>
      <w:r w:rsidR="00EA2E67" w:rsidRPr="009878B9">
        <w:t xml:space="preserve"> </w:t>
      </w:r>
    </w:p>
    <w:p w14:paraId="0034DE61" w14:textId="77777777" w:rsidR="005B6A78" w:rsidRPr="009878B9" w:rsidRDefault="00565F8D" w:rsidP="00CB7BB1">
      <w:pPr>
        <w:pBdr>
          <w:top w:val="single" w:sz="4" w:space="1" w:color="auto"/>
          <w:left w:val="single" w:sz="4" w:space="4" w:color="auto"/>
          <w:bottom w:val="single" w:sz="4" w:space="0" w:color="auto"/>
          <w:right w:val="single" w:sz="4" w:space="4" w:color="auto"/>
        </w:pBdr>
        <w:spacing w:after="0" w:line="240" w:lineRule="auto"/>
      </w:pPr>
      <w:r w:rsidRPr="009878B9">
        <w:t xml:space="preserve">For heat treat processors one hundred percent hardness inspection is required and must be certified as such on the certificate of conformance. </w:t>
      </w:r>
      <w:r w:rsidR="005B6A78" w:rsidRPr="009878B9">
        <w:t>For serialized parts, heat treat sources shall record actual hardness values for each serial number.</w:t>
      </w:r>
    </w:p>
    <w:p w14:paraId="0743F17B" w14:textId="77777777" w:rsidR="005B6A78" w:rsidRPr="009878B9" w:rsidRDefault="005B6A78" w:rsidP="00CB7BB1">
      <w:pPr>
        <w:pBdr>
          <w:top w:val="single" w:sz="4" w:space="1" w:color="auto"/>
          <w:left w:val="single" w:sz="4" w:space="4" w:color="auto"/>
          <w:bottom w:val="single" w:sz="4" w:space="0" w:color="auto"/>
          <w:right w:val="single" w:sz="4" w:space="4" w:color="auto"/>
        </w:pBdr>
        <w:spacing w:after="0" w:line="240" w:lineRule="auto"/>
      </w:pPr>
    </w:p>
    <w:p w14:paraId="54939EAD" w14:textId="77777777" w:rsidR="0070328B" w:rsidRPr="009878B9" w:rsidRDefault="0070328B" w:rsidP="00CB7BB1">
      <w:pPr>
        <w:pBdr>
          <w:top w:val="single" w:sz="4" w:space="1" w:color="auto"/>
          <w:left w:val="single" w:sz="4" w:space="4" w:color="auto"/>
          <w:bottom w:val="single" w:sz="4" w:space="0" w:color="auto"/>
          <w:right w:val="single" w:sz="4" w:space="4" w:color="auto"/>
        </w:pBdr>
        <w:spacing w:after="0" w:line="240" w:lineRule="auto"/>
      </w:pPr>
      <w:r w:rsidRPr="009878B9">
        <w:t>For machining suppliers;</w:t>
      </w:r>
    </w:p>
    <w:p w14:paraId="3E3B3465" w14:textId="77777777" w:rsidR="003725A5" w:rsidRPr="009878B9" w:rsidRDefault="00974FFC" w:rsidP="00CB7BB1">
      <w:pPr>
        <w:pBdr>
          <w:top w:val="single" w:sz="4" w:space="1" w:color="auto"/>
          <w:left w:val="single" w:sz="4" w:space="4" w:color="auto"/>
          <w:bottom w:val="single" w:sz="4" w:space="0" w:color="auto"/>
          <w:right w:val="single" w:sz="4" w:space="4" w:color="auto"/>
        </w:pBdr>
        <w:spacing w:after="0" w:line="240" w:lineRule="auto"/>
      </w:pPr>
      <w:r w:rsidRPr="009878B9">
        <w:t>A</w:t>
      </w:r>
      <w:r w:rsidR="0070328B" w:rsidRPr="009878B9">
        <w:t xml:space="preserve">pproved lubrication/coolant is required and must be documented on the certificate of conformance when BAC5540 and BAC5008 </w:t>
      </w:r>
      <w:r w:rsidR="005329A2" w:rsidRPr="009878B9">
        <w:t>are</w:t>
      </w:r>
      <w:r w:rsidR="0070328B" w:rsidRPr="009878B9">
        <w:t xml:space="preserve"> required for post heat treat machining.</w:t>
      </w:r>
    </w:p>
    <w:p w14:paraId="0055E448" w14:textId="77777777" w:rsidR="0070328B" w:rsidRPr="009878B9" w:rsidRDefault="0070328B" w:rsidP="00CB7BB1">
      <w:pPr>
        <w:pBdr>
          <w:top w:val="single" w:sz="4" w:space="1" w:color="auto"/>
          <w:left w:val="single" w:sz="4" w:space="4" w:color="auto"/>
          <w:bottom w:val="single" w:sz="4" w:space="0" w:color="auto"/>
          <w:right w:val="single" w:sz="4" w:space="4" w:color="auto"/>
        </w:pBdr>
        <w:spacing w:after="0" w:line="240" w:lineRule="auto"/>
      </w:pPr>
      <w:r w:rsidRPr="009878B9">
        <w:t>Calibrated functional gauges shall be utilized on threads and splines.</w:t>
      </w:r>
    </w:p>
    <w:p w14:paraId="7A234C9C" w14:textId="77777777" w:rsidR="00974FFC" w:rsidRPr="009878B9" w:rsidRDefault="00974FFC" w:rsidP="00CB7BB1">
      <w:pPr>
        <w:pBdr>
          <w:top w:val="single" w:sz="4" w:space="1" w:color="auto"/>
          <w:left w:val="single" w:sz="4" w:space="4" w:color="auto"/>
          <w:bottom w:val="single" w:sz="4" w:space="0" w:color="auto"/>
          <w:right w:val="single" w:sz="4" w:space="4" w:color="auto"/>
        </w:pBdr>
        <w:spacing w:after="0" w:line="240" w:lineRule="auto"/>
      </w:pPr>
      <w:r w:rsidRPr="009878B9">
        <w:t>Dimensional inspection report required with each shipment.</w:t>
      </w:r>
    </w:p>
    <w:p w14:paraId="373EEE31" w14:textId="77777777" w:rsidR="0070328B" w:rsidRPr="009878B9" w:rsidRDefault="0070328B" w:rsidP="00CB7BB1">
      <w:pPr>
        <w:pBdr>
          <w:top w:val="single" w:sz="4" w:space="1" w:color="auto"/>
          <w:left w:val="single" w:sz="4" w:space="4" w:color="auto"/>
          <w:bottom w:val="single" w:sz="4" w:space="0" w:color="auto"/>
          <w:right w:val="single" w:sz="4" w:space="4" w:color="auto"/>
        </w:pBdr>
        <w:spacing w:after="0" w:line="240" w:lineRule="auto"/>
      </w:pPr>
    </w:p>
    <w:p w14:paraId="044496DC" w14:textId="3A951FAA" w:rsidR="00352634" w:rsidRPr="009878B9" w:rsidRDefault="00352634" w:rsidP="00CB7BB1">
      <w:pPr>
        <w:pBdr>
          <w:top w:val="single" w:sz="4" w:space="1" w:color="auto"/>
          <w:left w:val="single" w:sz="4" w:space="4" w:color="auto"/>
          <w:bottom w:val="single" w:sz="4" w:space="0" w:color="auto"/>
          <w:right w:val="single" w:sz="4" w:space="4" w:color="auto"/>
        </w:pBdr>
      </w:pPr>
      <w:r w:rsidRPr="009878B9">
        <w:t xml:space="preserve">All suppliers must complete </w:t>
      </w:r>
      <w:r w:rsidR="00DF419D" w:rsidRPr="00DF419D">
        <w:rPr>
          <w:color w:val="0070C0"/>
        </w:rPr>
        <w:t>COLLINS</w:t>
      </w:r>
      <w:r w:rsidRPr="00DF419D">
        <w:rPr>
          <w:color w:val="0070C0"/>
        </w:rPr>
        <w:t xml:space="preserve"> </w:t>
      </w:r>
      <w:r w:rsidRPr="009878B9">
        <w:t>SEAD checklist form with each shipment.</w:t>
      </w:r>
    </w:p>
    <w:p w14:paraId="565C2D38" w14:textId="77777777" w:rsidR="0038251C" w:rsidRPr="009878B9" w:rsidRDefault="0038251C" w:rsidP="00CB7BB1">
      <w:pPr>
        <w:pBdr>
          <w:top w:val="single" w:sz="4" w:space="1" w:color="auto"/>
          <w:left w:val="single" w:sz="4" w:space="4" w:color="auto"/>
          <w:bottom w:val="single" w:sz="4" w:space="0" w:color="auto"/>
          <w:right w:val="single" w:sz="4" w:space="4" w:color="auto"/>
        </w:pBdr>
      </w:pPr>
      <w:r w:rsidRPr="009878B9">
        <w:t>In addition to Certificate of Conformance requirements specified in CFN-QA-SQR-0001</w:t>
      </w:r>
      <w:r w:rsidR="000D0703" w:rsidRPr="009878B9">
        <w:t xml:space="preserve"> </w:t>
      </w:r>
      <w:r w:rsidRPr="009878B9">
        <w:t>suppliers working to D</w:t>
      </w:r>
      <w:r w:rsidR="002D29A5" w:rsidRPr="009878B9">
        <w:t>1</w:t>
      </w:r>
      <w:r w:rsidRPr="009878B9">
        <w:t>-4426 Processes shall list the title of the process specification being performed, the date processing occurred and the processor’s Boeing assigned code from D</w:t>
      </w:r>
      <w:r w:rsidR="002D29A5" w:rsidRPr="009878B9">
        <w:t>1</w:t>
      </w:r>
      <w:r w:rsidR="00E067DD" w:rsidRPr="009878B9">
        <w:t>-4426 listing.</w:t>
      </w:r>
    </w:p>
    <w:p w14:paraId="293F9922" w14:textId="60689C9B" w:rsidR="00E067DD" w:rsidRPr="009878B9" w:rsidRDefault="00B06CA3" w:rsidP="00CB7BB1">
      <w:pPr>
        <w:pBdr>
          <w:top w:val="single" w:sz="4" w:space="1" w:color="auto"/>
          <w:left w:val="single" w:sz="4" w:space="4" w:color="auto"/>
          <w:bottom w:val="single" w:sz="4" w:space="0" w:color="auto"/>
          <w:right w:val="single" w:sz="4" w:space="4" w:color="auto"/>
        </w:pBdr>
      </w:pPr>
      <w:r w:rsidRPr="009878B9">
        <w:t>For part</w:t>
      </w:r>
      <w:r w:rsidR="00E067DD" w:rsidRPr="009878B9">
        <w:t xml:space="preserve"> classified as</w:t>
      </w:r>
      <w:r w:rsidR="00E067DD" w:rsidRPr="00DF419D">
        <w:rPr>
          <w:color w:val="0070C0"/>
        </w:rPr>
        <w:t xml:space="preserve"> </w:t>
      </w:r>
      <w:r w:rsidR="00DF419D" w:rsidRPr="00DF419D">
        <w:rPr>
          <w:color w:val="0070C0"/>
        </w:rPr>
        <w:t>COLLINS</w:t>
      </w:r>
      <w:r w:rsidRPr="00DF419D">
        <w:rPr>
          <w:color w:val="0070C0"/>
        </w:rPr>
        <w:t xml:space="preserve"> </w:t>
      </w:r>
      <w:r w:rsidR="00E067DD" w:rsidRPr="009878B9">
        <w:t>“CRITICAL PART” manufacturing plan approval per LGPS 8000 is required</w:t>
      </w:r>
    </w:p>
    <w:p w14:paraId="07E27463" w14:textId="77777777" w:rsidR="00B06CA3" w:rsidRDefault="00B06CA3" w:rsidP="00CB7BB1">
      <w:pPr>
        <w:pBdr>
          <w:top w:val="single" w:sz="4" w:space="1" w:color="auto"/>
          <w:left w:val="single" w:sz="4" w:space="4" w:color="auto"/>
          <w:bottom w:val="single" w:sz="4" w:space="0" w:color="auto"/>
          <w:right w:val="single" w:sz="4" w:space="4" w:color="auto"/>
        </w:pBdr>
      </w:pPr>
      <w:r w:rsidRPr="009878B9">
        <w:t>For part classified as Boeing “DESIGNATED PART” manufacturing plan approval per D6-1276 is required</w:t>
      </w:r>
    </w:p>
    <w:p w14:paraId="1597B4F0" w14:textId="77777777" w:rsidR="0086250B" w:rsidRPr="008E2A97" w:rsidRDefault="0086250B" w:rsidP="00CB7BB1">
      <w:pPr>
        <w:pBdr>
          <w:top w:val="single" w:sz="4" w:space="1" w:color="auto"/>
          <w:left w:val="single" w:sz="4" w:space="4" w:color="auto"/>
          <w:bottom w:val="single" w:sz="4" w:space="0" w:color="auto"/>
          <w:right w:val="single" w:sz="4" w:space="4" w:color="auto"/>
        </w:pBdr>
      </w:pPr>
      <w:r w:rsidRPr="008E2A97">
        <w:t>All O-rings (elastomeric materials) and seals shall have cure dates listed on certification</w:t>
      </w:r>
    </w:p>
    <w:p w14:paraId="78050CC9" w14:textId="77777777" w:rsidR="00CB7BB1" w:rsidRPr="008E2A97" w:rsidRDefault="00CB7BB1" w:rsidP="00CB7BB1">
      <w:pPr>
        <w:pBdr>
          <w:top w:val="single" w:sz="4" w:space="1" w:color="auto"/>
          <w:left w:val="single" w:sz="4" w:space="4" w:color="auto"/>
          <w:bottom w:val="single" w:sz="4" w:space="0" w:color="auto"/>
          <w:right w:val="single" w:sz="4" w:space="4" w:color="auto"/>
        </w:pBdr>
        <w:spacing w:after="0" w:line="240" w:lineRule="auto"/>
      </w:pPr>
      <w:r w:rsidRPr="008E2A97">
        <w:t>Refer next page for additional requirements for Raw Material Suppliers or sub-tier suppliers that procure material for product supplied to CFN:</w:t>
      </w:r>
    </w:p>
    <w:p w14:paraId="74C884A9" w14:textId="77777777" w:rsidR="00965566" w:rsidRDefault="00965566">
      <w:r>
        <w:br w:type="page"/>
      </w:r>
    </w:p>
    <w:p w14:paraId="4B963B29" w14:textId="77777777" w:rsidR="00965566" w:rsidRPr="008E2A97" w:rsidRDefault="00965566" w:rsidP="00965566">
      <w:pPr>
        <w:pBdr>
          <w:top w:val="single" w:sz="4" w:space="1" w:color="auto"/>
          <w:left w:val="single" w:sz="4" w:space="4" w:color="auto"/>
          <w:bottom w:val="single" w:sz="4" w:space="1" w:color="auto"/>
          <w:right w:val="single" w:sz="4" w:space="4" w:color="auto"/>
        </w:pBdr>
        <w:spacing w:after="0" w:line="240" w:lineRule="auto"/>
        <w:rPr>
          <w:b/>
        </w:rPr>
      </w:pPr>
      <w:r w:rsidRPr="008E2A97">
        <w:rPr>
          <w:b/>
        </w:rPr>
        <w:lastRenderedPageBreak/>
        <w:t>For Raw Material Suppliers or sub-tier suppliers that procure material for product supplied to CFN:</w:t>
      </w:r>
    </w:p>
    <w:p w14:paraId="5D685FCC" w14:textId="77777777" w:rsidR="00965566" w:rsidRPr="008E2A97" w:rsidRDefault="00965566" w:rsidP="00965566">
      <w:pPr>
        <w:pBdr>
          <w:top w:val="single" w:sz="4" w:space="1" w:color="auto"/>
          <w:left w:val="single" w:sz="4" w:space="4" w:color="auto"/>
          <w:bottom w:val="single" w:sz="4" w:space="1" w:color="auto"/>
          <w:right w:val="single" w:sz="4" w:space="4" w:color="auto"/>
        </w:pBdr>
        <w:spacing w:after="0" w:line="240" w:lineRule="auto"/>
      </w:pPr>
    </w:p>
    <w:p w14:paraId="082FEF07" w14:textId="77777777" w:rsidR="00965566" w:rsidRPr="008E2A97" w:rsidRDefault="00965566" w:rsidP="00965566">
      <w:pPr>
        <w:pBdr>
          <w:top w:val="single" w:sz="4" w:space="1" w:color="auto"/>
          <w:left w:val="single" w:sz="4" w:space="4" w:color="auto"/>
          <w:bottom w:val="single" w:sz="4" w:space="1" w:color="auto"/>
          <w:right w:val="single" w:sz="4" w:space="4" w:color="auto"/>
        </w:pBdr>
        <w:spacing w:after="0" w:line="240" w:lineRule="auto"/>
      </w:pPr>
      <w:r w:rsidRPr="008E2A97">
        <w:t>Raw material/forgings/castings:</w:t>
      </w:r>
    </w:p>
    <w:p w14:paraId="31F191D2" w14:textId="77777777" w:rsidR="00965566" w:rsidRPr="008E2A97" w:rsidRDefault="00965566"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  All forgings, castings and swaging's shall be identified with a vendor code or logo, which shall be specific to that particular manufacturer and/or per drawing requirements.</w:t>
      </w:r>
    </w:p>
    <w:p w14:paraId="1B73FA8F" w14:textId="77777777" w:rsidR="00965566" w:rsidRPr="008E2A97" w:rsidRDefault="00965566"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  The supplier shall maintain traceability from the raw material manufacturer’s heat or lot numbers to each individual forging, casting and swaging.  Heat or lot numbers shall be noted on the suppliers Certificate of Compliance.</w:t>
      </w:r>
    </w:p>
    <w:p w14:paraId="4B600E8C" w14:textId="77777777" w:rsidR="00F43646" w:rsidRPr="008E2A97" w:rsidRDefault="00F43646"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  The Supplier's raw material sources shall have a process control methodology in place for identifying tracking and trending for the following key characteristics Ultimate Tensile Strength (UTS), yield strength (VS), Elongation, and Reduction of Area (</w:t>
      </w:r>
      <w:proofErr w:type="spellStart"/>
      <w:r w:rsidRPr="008E2A97">
        <w:t>RoA</w:t>
      </w:r>
      <w:proofErr w:type="spellEnd"/>
      <w:r w:rsidRPr="008E2A97">
        <w:t>). Results and actions taken shall be made available upon request.</w:t>
      </w:r>
    </w:p>
    <w:p w14:paraId="3F1AFF74" w14:textId="77777777" w:rsidR="00F43646" w:rsidRPr="008E2A97" w:rsidRDefault="00F43646"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  In addition to the requirements of AMS 6419 and LSMS1000, producers of material supplied an certified to these specifications shall demonstrate on-going process capability and control with respect to the following key characteristics:</w:t>
      </w:r>
    </w:p>
    <w:p w14:paraId="09C6E2E1" w14:textId="77777777" w:rsidR="00F43646" w:rsidRPr="008E2A97" w:rsidRDefault="00F43646"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ab/>
        <w:t>- Transverse ultimate tensile strength</w:t>
      </w:r>
    </w:p>
    <w:p w14:paraId="2DFA8E22" w14:textId="77777777" w:rsidR="00F43646" w:rsidRPr="008E2A97" w:rsidRDefault="00F43646"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ab/>
        <w:t>- Yield strength</w:t>
      </w:r>
    </w:p>
    <w:p w14:paraId="002B7144" w14:textId="77777777" w:rsidR="00F43646" w:rsidRPr="008E2A97" w:rsidRDefault="00F43646"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ab/>
        <w:t>- Elongation and percent reduction of area on every VAR heat produced</w:t>
      </w:r>
    </w:p>
    <w:p w14:paraId="1DA4F90C" w14:textId="260C459B" w:rsidR="00F43646" w:rsidRPr="008E2A97" w:rsidRDefault="00F43646"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ab/>
        <w:t xml:space="preserve">- The material producer shall provide evidence to </w:t>
      </w:r>
      <w:r w:rsidR="00DF419D">
        <w:t>COLLINS</w:t>
      </w:r>
      <w:r w:rsidRPr="008E2A97">
        <w:t>-LS-M&amp;PT that the key characteristic data is analyzed per a documented procedure and falls within the process control limits as set by that producer and as determined by the available data</w:t>
      </w:r>
    </w:p>
    <w:p w14:paraId="5CF315CE" w14:textId="77777777" w:rsidR="004D29E5" w:rsidRPr="008E2A97" w:rsidRDefault="004D29E5"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ab/>
        <w:t>- The mill shall also provide evidence that adverse trends in the key characteristic data are identified and corrective action is implemented. In particular, trends in the percent reduction of area shall be used to demonstrate control over the steel cleanliness.</w:t>
      </w:r>
    </w:p>
    <w:p w14:paraId="74985CE5" w14:textId="36F90B2F" w:rsidR="004D29E5" w:rsidRPr="008E2A97" w:rsidRDefault="004D29E5"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ab/>
        <w:t xml:space="preserve">- The data and analysis shall be supplied to </w:t>
      </w:r>
      <w:r w:rsidR="00DF419D" w:rsidRPr="00DF419D">
        <w:rPr>
          <w:color w:val="0070C0"/>
        </w:rPr>
        <w:t>COLLINS</w:t>
      </w:r>
      <w:r w:rsidRPr="008E2A97">
        <w:t>-LS M&amp;PT through content Server on a quarterly (3 month) basis in a format which includes results for each material heat melted.  See Content Server for instruction on submittal communication requirements</w:t>
      </w:r>
    </w:p>
    <w:p w14:paraId="1430ADF6" w14:textId="77777777" w:rsidR="004D29E5" w:rsidRPr="008E2A97" w:rsidRDefault="004D29E5"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ab/>
        <w:t>- Failure to provide the analysis may be grounds for disqualification.</w:t>
      </w:r>
    </w:p>
    <w:p w14:paraId="2A8E7815" w14:textId="77777777" w:rsidR="004D29E5" w:rsidRPr="008E2A97" w:rsidRDefault="0086250B"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 xml:space="preserve">    </w:t>
      </w:r>
      <w:r w:rsidR="004D29E5" w:rsidRPr="008E2A97">
        <w:t>-</w:t>
      </w:r>
      <w:r w:rsidRPr="008E2A97">
        <w:t xml:space="preserve"> </w:t>
      </w:r>
      <w:r w:rsidR="004D29E5" w:rsidRPr="008E2A97">
        <w:t>Raw material suppliers shall have a formal coupon retention program</w:t>
      </w:r>
    </w:p>
    <w:p w14:paraId="36A17C92" w14:textId="77777777" w:rsidR="0086250B" w:rsidRPr="008E2A97" w:rsidRDefault="0086250B" w:rsidP="0086250B">
      <w:pPr>
        <w:pBdr>
          <w:top w:val="single" w:sz="4" w:space="1" w:color="auto"/>
          <w:left w:val="single" w:sz="4" w:space="4" w:color="auto"/>
          <w:bottom w:val="single" w:sz="4" w:space="1" w:color="auto"/>
          <w:right w:val="single" w:sz="4" w:space="4" w:color="auto"/>
        </w:pBdr>
        <w:spacing w:after="0" w:line="240" w:lineRule="auto"/>
        <w:ind w:left="180" w:hanging="180"/>
      </w:pPr>
    </w:p>
    <w:p w14:paraId="6C34B6B1" w14:textId="77777777" w:rsidR="0086250B" w:rsidRPr="008E2A97" w:rsidRDefault="0086250B" w:rsidP="0086250B">
      <w:pPr>
        <w:pBdr>
          <w:top w:val="single" w:sz="4" w:space="1" w:color="auto"/>
          <w:left w:val="single" w:sz="4" w:space="4" w:color="auto"/>
          <w:bottom w:val="single" w:sz="4" w:space="1" w:color="auto"/>
          <w:right w:val="single" w:sz="4" w:space="4" w:color="auto"/>
        </w:pBdr>
        <w:spacing w:after="0" w:line="240" w:lineRule="auto"/>
        <w:ind w:left="180" w:hanging="180"/>
      </w:pPr>
      <w:r w:rsidRPr="008E2A97">
        <w:t>- All bar stock material (each piece) shall be identified with the heat or lot number, purchase order number, or colour code as appropriate</w:t>
      </w:r>
    </w:p>
    <w:p w14:paraId="3D519358" w14:textId="77777777" w:rsidR="0086250B" w:rsidRPr="008E2A97" w:rsidRDefault="0086250B" w:rsidP="00965566">
      <w:pPr>
        <w:pBdr>
          <w:top w:val="single" w:sz="4" w:space="1" w:color="auto"/>
          <w:left w:val="single" w:sz="4" w:space="4" w:color="auto"/>
          <w:bottom w:val="single" w:sz="4" w:space="1" w:color="auto"/>
          <w:right w:val="single" w:sz="4" w:space="4" w:color="auto"/>
        </w:pBdr>
        <w:spacing w:after="0" w:line="240" w:lineRule="auto"/>
        <w:ind w:left="180" w:hanging="180"/>
      </w:pPr>
      <w:r w:rsidRPr="008E2A97">
        <w:t>- Material traceability (heat or lot) shall be transferred to the unused bar stock prior to storage.</w:t>
      </w:r>
    </w:p>
    <w:p w14:paraId="7D8E784C" w14:textId="77777777" w:rsidR="004D29E5" w:rsidRPr="008E2A97" w:rsidRDefault="004D29E5" w:rsidP="00965566">
      <w:pPr>
        <w:pBdr>
          <w:top w:val="single" w:sz="4" w:space="1" w:color="auto"/>
          <w:left w:val="single" w:sz="4" w:space="4" w:color="auto"/>
          <w:bottom w:val="single" w:sz="4" w:space="1" w:color="auto"/>
          <w:right w:val="single" w:sz="4" w:space="4" w:color="auto"/>
        </w:pBdr>
        <w:spacing w:after="0" w:line="240" w:lineRule="auto"/>
        <w:ind w:left="180" w:hanging="180"/>
      </w:pPr>
    </w:p>
    <w:p w14:paraId="5DA9F9F0" w14:textId="77777777" w:rsidR="0086250B" w:rsidRPr="008E2A97" w:rsidRDefault="0086250B" w:rsidP="0086250B">
      <w:pPr>
        <w:pBdr>
          <w:top w:val="single" w:sz="4" w:space="1" w:color="auto"/>
          <w:left w:val="single" w:sz="4" w:space="4" w:color="auto"/>
          <w:bottom w:val="single" w:sz="4" w:space="1" w:color="auto"/>
          <w:right w:val="single" w:sz="4" w:space="4" w:color="auto"/>
        </w:pBdr>
        <w:spacing w:after="0" w:line="240" w:lineRule="auto"/>
      </w:pPr>
      <w:r w:rsidRPr="008E2A97">
        <w:t>Special requirements apply to material produced in company(s) located in a country other than the United States or Canada and the country does not have a Bilateral Airworthiness Agreement (BAA) for the product being supplied. If the Supplier intends to purchase raw material stock, forgings, castings and standard hardware from sources outside North America or from a country that does not have a BAA, the Supplier shall notify CFN SQA and obtain concurrence from CFN prior to commencing the procurement activity.</w:t>
      </w:r>
    </w:p>
    <w:p w14:paraId="5CE64F9E" w14:textId="77777777" w:rsidR="004E340D" w:rsidRPr="008E2A97" w:rsidRDefault="004E340D" w:rsidP="0086250B">
      <w:pPr>
        <w:pBdr>
          <w:top w:val="single" w:sz="4" w:space="1" w:color="auto"/>
          <w:left w:val="single" w:sz="4" w:space="4" w:color="auto"/>
          <w:bottom w:val="single" w:sz="4" w:space="1" w:color="auto"/>
          <w:right w:val="single" w:sz="4" w:space="4" w:color="auto"/>
        </w:pBdr>
        <w:spacing w:after="0" w:line="240" w:lineRule="auto"/>
      </w:pPr>
    </w:p>
    <w:p w14:paraId="0A893BAA" w14:textId="77777777" w:rsidR="004E340D" w:rsidRPr="004E340D" w:rsidRDefault="004E340D" w:rsidP="0086250B">
      <w:pPr>
        <w:pBdr>
          <w:top w:val="single" w:sz="4" w:space="1" w:color="auto"/>
          <w:left w:val="single" w:sz="4" w:space="4" w:color="auto"/>
          <w:bottom w:val="single" w:sz="4" w:space="1" w:color="auto"/>
          <w:right w:val="single" w:sz="4" w:space="4" w:color="auto"/>
        </w:pBdr>
        <w:spacing w:after="0" w:line="240" w:lineRule="auto"/>
        <w:rPr>
          <w:i/>
          <w:color w:val="0000FF"/>
        </w:rPr>
      </w:pPr>
      <w:r w:rsidRPr="004E340D">
        <w:rPr>
          <w:i/>
          <w:color w:val="0000FF"/>
        </w:rPr>
        <w:t xml:space="preserve">Special requirements for Low Hydrogen Embrittlement Cadmium Plating certifications </w:t>
      </w:r>
      <w:proofErr w:type="gramStart"/>
      <w:r w:rsidRPr="004E340D">
        <w:rPr>
          <w:i/>
          <w:color w:val="0000FF"/>
        </w:rPr>
        <w:t>( C</w:t>
      </w:r>
      <w:proofErr w:type="gramEnd"/>
      <w:r w:rsidRPr="004E340D">
        <w:rPr>
          <w:i/>
          <w:color w:val="0000FF"/>
        </w:rPr>
        <w:t xml:space="preserve"> of C). </w:t>
      </w:r>
    </w:p>
    <w:p w14:paraId="4DC2A560" w14:textId="77777777" w:rsidR="004E340D" w:rsidRPr="004E340D" w:rsidRDefault="004E340D" w:rsidP="0086250B">
      <w:pPr>
        <w:pBdr>
          <w:top w:val="single" w:sz="4" w:space="1" w:color="auto"/>
          <w:left w:val="single" w:sz="4" w:space="4" w:color="auto"/>
          <w:bottom w:val="single" w:sz="4" w:space="1" w:color="auto"/>
          <w:right w:val="single" w:sz="4" w:space="4" w:color="auto"/>
        </w:pBdr>
        <w:spacing w:after="0" w:line="240" w:lineRule="auto"/>
        <w:rPr>
          <w:i/>
          <w:color w:val="0000FF"/>
        </w:rPr>
      </w:pPr>
      <w:r w:rsidRPr="004E340D">
        <w:rPr>
          <w:i/>
          <w:color w:val="0000FF"/>
        </w:rPr>
        <w:t>-For Cadmium Plating utilizing low hydrogen embrittlement method on steel material with UTS high</w:t>
      </w:r>
      <w:r w:rsidR="008E2A97">
        <w:rPr>
          <w:i/>
          <w:color w:val="0000FF"/>
        </w:rPr>
        <w:t>er</w:t>
      </w:r>
      <w:r w:rsidRPr="004E340D">
        <w:rPr>
          <w:i/>
          <w:color w:val="0000FF"/>
        </w:rPr>
        <w:t xml:space="preserve"> </w:t>
      </w:r>
      <w:r w:rsidR="008E2A97">
        <w:rPr>
          <w:i/>
          <w:color w:val="0000FF"/>
        </w:rPr>
        <w:t>t</w:t>
      </w:r>
      <w:r w:rsidRPr="004E340D">
        <w:rPr>
          <w:i/>
          <w:color w:val="0000FF"/>
        </w:rPr>
        <w:t xml:space="preserve">han 180KSI, specific results will be require as requested on page no. 3 of this document. </w:t>
      </w:r>
    </w:p>
    <w:p w14:paraId="3F4F2BB1" w14:textId="77777777" w:rsidR="004E340D" w:rsidRDefault="004E340D" w:rsidP="0086250B">
      <w:pPr>
        <w:pBdr>
          <w:top w:val="single" w:sz="4" w:space="1" w:color="auto"/>
          <w:left w:val="single" w:sz="4" w:space="4" w:color="auto"/>
          <w:bottom w:val="single" w:sz="4" w:space="1" w:color="auto"/>
          <w:right w:val="single" w:sz="4" w:space="4" w:color="auto"/>
        </w:pBdr>
        <w:spacing w:after="0" w:line="240" w:lineRule="auto"/>
        <w:rPr>
          <w:color w:val="0000FF"/>
        </w:rPr>
      </w:pPr>
    </w:p>
    <w:p w14:paraId="5B4BFAA5" w14:textId="77777777" w:rsidR="004E340D" w:rsidRDefault="004E340D" w:rsidP="0086250B">
      <w:pPr>
        <w:pBdr>
          <w:top w:val="single" w:sz="4" w:space="1" w:color="auto"/>
          <w:left w:val="single" w:sz="4" w:space="4" w:color="auto"/>
          <w:bottom w:val="single" w:sz="4" w:space="1" w:color="auto"/>
          <w:right w:val="single" w:sz="4" w:space="4" w:color="auto"/>
        </w:pBdr>
        <w:spacing w:after="0" w:line="240" w:lineRule="auto"/>
        <w:rPr>
          <w:color w:val="0000FF"/>
        </w:rPr>
      </w:pPr>
    </w:p>
    <w:p w14:paraId="0CDB6183" w14:textId="77777777" w:rsidR="004E340D" w:rsidRDefault="004E340D" w:rsidP="0086250B">
      <w:pPr>
        <w:pBdr>
          <w:top w:val="single" w:sz="4" w:space="1" w:color="auto"/>
          <w:left w:val="single" w:sz="4" w:space="4" w:color="auto"/>
          <w:bottom w:val="single" w:sz="4" w:space="1" w:color="auto"/>
          <w:right w:val="single" w:sz="4" w:space="4" w:color="auto"/>
        </w:pBdr>
        <w:spacing w:after="0" w:line="240" w:lineRule="auto"/>
        <w:rPr>
          <w:color w:val="0000FF"/>
        </w:rPr>
      </w:pPr>
    </w:p>
    <w:p w14:paraId="5738A2B3" w14:textId="77777777" w:rsidR="004E340D" w:rsidRDefault="004E340D" w:rsidP="004E340D">
      <w:pPr>
        <w:pBdr>
          <w:top w:val="single" w:sz="4" w:space="1" w:color="auto"/>
          <w:left w:val="single" w:sz="4" w:space="1" w:color="auto"/>
          <w:bottom w:val="single" w:sz="4" w:space="1" w:color="auto"/>
          <w:right w:val="single" w:sz="4" w:space="1" w:color="auto"/>
        </w:pBdr>
        <w:spacing w:after="0" w:line="240" w:lineRule="auto"/>
        <w:rPr>
          <w:color w:val="0000FF"/>
        </w:rPr>
      </w:pPr>
    </w:p>
    <w:p w14:paraId="32C68B23" w14:textId="77777777" w:rsidR="004E340D" w:rsidRPr="00E32991" w:rsidRDefault="00E32991" w:rsidP="004E3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cstheme="minorHAnsi"/>
          <w:i/>
          <w:color w:val="0000FF"/>
        </w:rPr>
      </w:pPr>
      <w:r w:rsidRPr="00E32991">
        <w:rPr>
          <w:rFonts w:cstheme="minorHAnsi"/>
          <w:i/>
          <w:color w:val="0000FF"/>
        </w:rPr>
        <w:t>Special requirements for Low Hydrogen Embrittlement Cadmium Plating certifications (C of C)</w:t>
      </w:r>
    </w:p>
    <w:p w14:paraId="05D49CF4" w14:textId="77777777" w:rsidR="00E32991" w:rsidRPr="004E340D" w:rsidRDefault="00E32991" w:rsidP="004E3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cstheme="minorHAnsi"/>
          <w:i/>
          <w:color w:val="0000FF"/>
        </w:rPr>
      </w:pPr>
      <w:r w:rsidRPr="00E32991">
        <w:rPr>
          <w:rFonts w:cstheme="minorHAnsi"/>
          <w:i/>
          <w:color w:val="0000FF"/>
        </w:rPr>
        <w:t xml:space="preserve">-For Cadmium Plating utilizing low hydrogen embrittlement method on steel material with UTS higher than 180KSI, specific results will be require as requested below: </w:t>
      </w:r>
    </w:p>
    <w:p w14:paraId="4895EAF2"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cstheme="minorHAnsi"/>
          <w:i/>
          <w:color w:val="0000FF"/>
        </w:rPr>
      </w:pPr>
      <w:r w:rsidRPr="004E340D">
        <w:rPr>
          <w:rFonts w:cstheme="minorHAnsi"/>
          <w:i/>
          <w:color w:val="0000FF"/>
        </w:rPr>
        <w:t xml:space="preserve"> </w:t>
      </w:r>
    </w:p>
    <w:p w14:paraId="3A63297F"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1. Plating specification __________ Class ____Type ____ </w:t>
      </w:r>
    </w:p>
    <w:p w14:paraId="093BAFFA"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2. Calculated surface area plated ___________ sq. in. </w:t>
      </w:r>
    </w:p>
    <w:p w14:paraId="51DABE32"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3. Actual amperage applied during the plating operation __________ A. </w:t>
      </w:r>
    </w:p>
    <w:p w14:paraId="4FBF5CBB"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4. Required current density ________ ASF. </w:t>
      </w:r>
    </w:p>
    <w:p w14:paraId="7B55403B"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5. Calculated current density _________ ASF. </w:t>
      </w:r>
    </w:p>
    <w:p w14:paraId="108E1085"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6. Required maximum delay to bake operation __________ hours. </w:t>
      </w:r>
    </w:p>
    <w:p w14:paraId="351C862C"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7. Actual delay to bake operation __________ hours. </w:t>
      </w:r>
    </w:p>
    <w:p w14:paraId="2254273E"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8. Required bake duration/time __________ hours. </w:t>
      </w:r>
    </w:p>
    <w:p w14:paraId="11724686"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9. Actual bake duration/time __________ hours. </w:t>
      </w:r>
    </w:p>
    <w:p w14:paraId="680843B7"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31" w:line="240" w:lineRule="auto"/>
        <w:rPr>
          <w:rFonts w:cstheme="minorHAnsi"/>
          <w:i/>
          <w:color w:val="0000FF"/>
        </w:rPr>
      </w:pPr>
      <w:r w:rsidRPr="004E340D">
        <w:rPr>
          <w:rFonts w:cstheme="minorHAnsi"/>
          <w:i/>
          <w:color w:val="0000FF"/>
        </w:rPr>
        <w:t xml:space="preserve">10. Required bake temperature ________ ‘F +/- _________ ‘F </w:t>
      </w:r>
    </w:p>
    <w:p w14:paraId="201AB6CC" w14:textId="77777777" w:rsidR="004E340D" w:rsidRPr="004E340D" w:rsidRDefault="004E340D" w:rsidP="004E3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cstheme="minorHAnsi"/>
          <w:i/>
          <w:color w:val="0000FF"/>
        </w:rPr>
      </w:pPr>
      <w:r w:rsidRPr="004E340D">
        <w:rPr>
          <w:rFonts w:cstheme="minorHAnsi"/>
          <w:i/>
          <w:color w:val="0000FF"/>
        </w:rPr>
        <w:t xml:space="preserve">11. Actual bake temperature _________ ‘F </w:t>
      </w:r>
    </w:p>
    <w:p w14:paraId="3BE3787E" w14:textId="77777777" w:rsidR="004E340D" w:rsidRDefault="004E340D" w:rsidP="004E340D">
      <w:pPr>
        <w:pBdr>
          <w:top w:val="single" w:sz="4" w:space="1" w:color="auto"/>
          <w:left w:val="single" w:sz="4" w:space="1" w:color="auto"/>
          <w:bottom w:val="single" w:sz="4" w:space="1" w:color="auto"/>
          <w:right w:val="single" w:sz="4" w:space="1" w:color="auto"/>
        </w:pBdr>
        <w:spacing w:after="0" w:line="240" w:lineRule="auto"/>
        <w:rPr>
          <w:color w:val="0000FF"/>
        </w:rPr>
      </w:pPr>
    </w:p>
    <w:p w14:paraId="20923F16" w14:textId="77777777" w:rsidR="004E340D" w:rsidRPr="00A65A4C" w:rsidRDefault="004E340D" w:rsidP="004E340D">
      <w:pPr>
        <w:pBdr>
          <w:top w:val="single" w:sz="4" w:space="1" w:color="auto"/>
          <w:left w:val="single" w:sz="4" w:space="1" w:color="auto"/>
          <w:bottom w:val="single" w:sz="4" w:space="1" w:color="auto"/>
          <w:right w:val="single" w:sz="4" w:space="1" w:color="auto"/>
        </w:pBdr>
        <w:spacing w:after="0" w:line="240" w:lineRule="auto"/>
        <w:rPr>
          <w:color w:val="0000FF"/>
        </w:rPr>
      </w:pPr>
    </w:p>
    <w:p w14:paraId="258AE325" w14:textId="77777777" w:rsidR="00F43646" w:rsidRPr="00965566" w:rsidRDefault="00F43646" w:rsidP="004E340D">
      <w:pPr>
        <w:pBdr>
          <w:top w:val="single" w:sz="4" w:space="1" w:color="auto"/>
          <w:left w:val="single" w:sz="4" w:space="1" w:color="auto"/>
          <w:bottom w:val="single" w:sz="4" w:space="1" w:color="auto"/>
          <w:right w:val="single" w:sz="4" w:space="1" w:color="auto"/>
        </w:pBdr>
        <w:spacing w:after="0" w:line="240" w:lineRule="auto"/>
        <w:ind w:left="180" w:hanging="180"/>
        <w:rPr>
          <w:color w:val="0000FF"/>
        </w:rPr>
      </w:pPr>
    </w:p>
    <w:sectPr w:rsidR="00F43646" w:rsidRPr="0096556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CF51" w14:textId="77777777" w:rsidR="00CB6CA4" w:rsidRDefault="00CB6CA4" w:rsidP="00481CF3">
      <w:pPr>
        <w:spacing w:after="0" w:line="240" w:lineRule="auto"/>
      </w:pPr>
      <w:r>
        <w:separator/>
      </w:r>
    </w:p>
  </w:endnote>
  <w:endnote w:type="continuationSeparator" w:id="0">
    <w:p w14:paraId="6422F0D2" w14:textId="77777777" w:rsidR="00CB6CA4" w:rsidRDefault="00CB6CA4" w:rsidP="0048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AD26" w14:textId="77777777" w:rsidR="00045A5B" w:rsidRDefault="00045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F865" w14:textId="40AFBE6A" w:rsidR="00481CF3" w:rsidRDefault="00481CF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CFN-QA-SQR-0002</w:t>
    </w:r>
    <w:r w:rsidR="003725A5">
      <w:rPr>
        <w:rFonts w:asciiTheme="majorHAnsi" w:eastAsiaTheme="majorEastAsia" w:hAnsiTheme="majorHAnsi" w:cstheme="majorBidi"/>
      </w:rPr>
      <w:t xml:space="preserve"> REV </w:t>
    </w:r>
    <w:r w:rsidR="00045A5B">
      <w:rPr>
        <w:rFonts w:asciiTheme="majorHAnsi" w:eastAsiaTheme="majorEastAsia" w:hAnsiTheme="majorHAnsi" w:cstheme="majorBidi"/>
      </w:rPr>
      <w:t>E</w:t>
    </w:r>
    <w:r>
      <w:rPr>
        <w:rFonts w:asciiTheme="majorHAnsi" w:eastAsiaTheme="majorEastAsia" w:hAnsiTheme="majorHAnsi" w:cstheme="majorBidi"/>
      </w:rPr>
      <w:tab/>
    </w:r>
    <w:r w:rsidR="008E2A97">
      <w:rPr>
        <w:rFonts w:asciiTheme="majorHAnsi" w:eastAsiaTheme="majorEastAsia" w:hAnsiTheme="majorHAnsi" w:cstheme="majorBidi"/>
      </w:rPr>
      <w:t>November</w:t>
    </w:r>
    <w:r w:rsidR="007C1F7A">
      <w:rPr>
        <w:rFonts w:asciiTheme="majorHAnsi" w:eastAsiaTheme="majorEastAsia" w:hAnsiTheme="majorHAnsi" w:cstheme="majorBidi"/>
      </w:rPr>
      <w:t xml:space="preserve"> 1</w:t>
    </w:r>
    <w:r w:rsidR="008E2A97">
      <w:rPr>
        <w:rFonts w:asciiTheme="majorHAnsi" w:eastAsiaTheme="majorEastAsia" w:hAnsiTheme="majorHAnsi" w:cstheme="majorBidi"/>
      </w:rPr>
      <w:t>1</w:t>
    </w:r>
    <w:r w:rsidR="007C1F7A">
      <w:rPr>
        <w:rFonts w:asciiTheme="majorHAnsi" w:eastAsiaTheme="majorEastAsia" w:hAnsiTheme="majorHAnsi" w:cstheme="majorBidi"/>
      </w:rPr>
      <w:t>,</w:t>
    </w:r>
    <w:r w:rsidR="009878B9">
      <w:rPr>
        <w:rFonts w:asciiTheme="majorHAnsi" w:eastAsiaTheme="majorEastAsia" w:hAnsiTheme="majorHAnsi" w:cstheme="majorBidi"/>
      </w:rPr>
      <w:t xml:space="preserve"> 201</w:t>
    </w:r>
    <w:r w:rsidR="007C1F7A">
      <w:rPr>
        <w:rFonts w:asciiTheme="majorHAnsi" w:eastAsiaTheme="majorEastAsia" w:hAnsiTheme="majorHAnsi" w:cstheme="majorBidi"/>
      </w:rPr>
      <w:t>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E2A97" w:rsidRPr="008E2A9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7533F5F5" w14:textId="77777777" w:rsidR="00481CF3" w:rsidRDefault="00481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F58E" w14:textId="77777777" w:rsidR="00045A5B" w:rsidRDefault="00045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62FC" w14:textId="77777777" w:rsidR="00CB6CA4" w:rsidRDefault="00CB6CA4" w:rsidP="00481CF3">
      <w:pPr>
        <w:spacing w:after="0" w:line="240" w:lineRule="auto"/>
      </w:pPr>
      <w:r>
        <w:separator/>
      </w:r>
    </w:p>
  </w:footnote>
  <w:footnote w:type="continuationSeparator" w:id="0">
    <w:p w14:paraId="05C8DB8B" w14:textId="77777777" w:rsidR="00CB6CA4" w:rsidRDefault="00CB6CA4" w:rsidP="0048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552" w14:textId="77777777" w:rsidR="00045A5B" w:rsidRDefault="00045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60BED7B9DDB74673B95FB08D1F213D0B"/>
      </w:placeholder>
      <w:dataBinding w:prefixMappings="xmlns:ns0='http://schemas.openxmlformats.org/package/2006/metadata/core-properties' xmlns:ns1='http://purl.org/dc/elements/1.1/'" w:xpath="/ns0:coreProperties[1]/ns1:title[1]" w:storeItemID="{6C3C8BC8-F283-45AE-878A-BAB7291924A1}"/>
      <w:text/>
    </w:sdtPr>
    <w:sdtEndPr/>
    <w:sdtContent>
      <w:p w14:paraId="37A0371D" w14:textId="4B159870" w:rsidR="00481CF3" w:rsidRDefault="00045A5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CFN Supplier Flow Down: End user UTAS</w:t>
        </w:r>
      </w:p>
    </w:sdtContent>
  </w:sdt>
  <w:p w14:paraId="186F128D" w14:textId="77777777" w:rsidR="00481CF3" w:rsidRDefault="00481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CBD7" w14:textId="77777777" w:rsidR="00045A5B" w:rsidRDefault="00045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1472C"/>
    <w:multiLevelType w:val="hybridMultilevel"/>
    <w:tmpl w:val="7C82FB26"/>
    <w:lvl w:ilvl="0" w:tplc="5A0A9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51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34"/>
    <w:rsid w:val="00002F1F"/>
    <w:rsid w:val="00010C22"/>
    <w:rsid w:val="00020C4E"/>
    <w:rsid w:val="00045A5B"/>
    <w:rsid w:val="00052466"/>
    <w:rsid w:val="00073CB5"/>
    <w:rsid w:val="000A3BB1"/>
    <w:rsid w:val="000D0703"/>
    <w:rsid w:val="000D07AA"/>
    <w:rsid w:val="000D4728"/>
    <w:rsid w:val="001208B6"/>
    <w:rsid w:val="001349FA"/>
    <w:rsid w:val="00160197"/>
    <w:rsid w:val="00194304"/>
    <w:rsid w:val="001A7975"/>
    <w:rsid w:val="001D3184"/>
    <w:rsid w:val="0027356E"/>
    <w:rsid w:val="002D29A5"/>
    <w:rsid w:val="00352634"/>
    <w:rsid w:val="00357A51"/>
    <w:rsid w:val="003725A5"/>
    <w:rsid w:val="0038251C"/>
    <w:rsid w:val="003D56A5"/>
    <w:rsid w:val="003D7B76"/>
    <w:rsid w:val="0040338C"/>
    <w:rsid w:val="00481CF3"/>
    <w:rsid w:val="00493576"/>
    <w:rsid w:val="004C16C4"/>
    <w:rsid w:val="004D29E5"/>
    <w:rsid w:val="004D7BB5"/>
    <w:rsid w:val="004E340D"/>
    <w:rsid w:val="004F107F"/>
    <w:rsid w:val="005329A2"/>
    <w:rsid w:val="00544192"/>
    <w:rsid w:val="00565F8D"/>
    <w:rsid w:val="005B6819"/>
    <w:rsid w:val="005B6A78"/>
    <w:rsid w:val="005F7F2C"/>
    <w:rsid w:val="00627ECB"/>
    <w:rsid w:val="00651995"/>
    <w:rsid w:val="00675612"/>
    <w:rsid w:val="0070328B"/>
    <w:rsid w:val="007270EC"/>
    <w:rsid w:val="007C1F7A"/>
    <w:rsid w:val="007D487F"/>
    <w:rsid w:val="007E2728"/>
    <w:rsid w:val="008342A6"/>
    <w:rsid w:val="0086250B"/>
    <w:rsid w:val="008E2A97"/>
    <w:rsid w:val="00965566"/>
    <w:rsid w:val="00966DED"/>
    <w:rsid w:val="00974FFC"/>
    <w:rsid w:val="009878B9"/>
    <w:rsid w:val="00A66D4C"/>
    <w:rsid w:val="00B040C3"/>
    <w:rsid w:val="00B06CA3"/>
    <w:rsid w:val="00B86888"/>
    <w:rsid w:val="00CB6CA4"/>
    <w:rsid w:val="00CB7BB1"/>
    <w:rsid w:val="00CC44A4"/>
    <w:rsid w:val="00CD18D4"/>
    <w:rsid w:val="00CF40AD"/>
    <w:rsid w:val="00D03C7B"/>
    <w:rsid w:val="00D460B7"/>
    <w:rsid w:val="00D64ADD"/>
    <w:rsid w:val="00DF419D"/>
    <w:rsid w:val="00E067DD"/>
    <w:rsid w:val="00E32991"/>
    <w:rsid w:val="00E3481B"/>
    <w:rsid w:val="00EA2E67"/>
    <w:rsid w:val="00ED0F14"/>
    <w:rsid w:val="00F43646"/>
    <w:rsid w:val="00FC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15EF6"/>
  <w15:docId w15:val="{41693385-5C26-49B0-8649-E0B4B438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BB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73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56E"/>
    <w:rPr>
      <w:rFonts w:ascii="Tahoma" w:hAnsi="Tahoma" w:cs="Tahoma"/>
      <w:sz w:val="16"/>
      <w:szCs w:val="16"/>
    </w:rPr>
  </w:style>
  <w:style w:type="paragraph" w:styleId="Header">
    <w:name w:val="header"/>
    <w:basedOn w:val="Normal"/>
    <w:link w:val="HeaderChar"/>
    <w:uiPriority w:val="99"/>
    <w:unhideWhenUsed/>
    <w:rsid w:val="00481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CF3"/>
  </w:style>
  <w:style w:type="paragraph" w:styleId="Footer">
    <w:name w:val="footer"/>
    <w:basedOn w:val="Normal"/>
    <w:link w:val="FooterChar"/>
    <w:uiPriority w:val="99"/>
    <w:unhideWhenUsed/>
    <w:rsid w:val="00481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CF3"/>
  </w:style>
  <w:style w:type="character" w:styleId="Hyperlink">
    <w:name w:val="Hyperlink"/>
    <w:basedOn w:val="DefaultParagraphFont"/>
    <w:uiPriority w:val="99"/>
    <w:unhideWhenUsed/>
    <w:rsid w:val="00EA2E67"/>
    <w:rPr>
      <w:color w:val="0000FF" w:themeColor="hyperlink"/>
      <w:u w:val="single"/>
    </w:rPr>
  </w:style>
  <w:style w:type="character" w:styleId="FollowedHyperlink">
    <w:name w:val="FollowedHyperlink"/>
    <w:basedOn w:val="DefaultParagraphFont"/>
    <w:uiPriority w:val="99"/>
    <w:semiHidden/>
    <w:unhideWhenUsed/>
    <w:rsid w:val="00EA2E67"/>
    <w:rPr>
      <w:color w:val="800080" w:themeColor="followedHyperlink"/>
      <w:u w:val="single"/>
    </w:rPr>
  </w:style>
  <w:style w:type="paragraph" w:styleId="ListParagraph">
    <w:name w:val="List Paragraph"/>
    <w:basedOn w:val="Normal"/>
    <w:uiPriority w:val="34"/>
    <w:qFormat/>
    <w:rsid w:val="00862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8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nprecision.com/images/CFN%20Standard%20Purchase%20Order%20Terms%20and%20Conditions%202014.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eing.com/companyoffices/doingbiz/d14426/index.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nprecisi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fnprecisio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fnprecision.com/images/CFN%20SUPPLIER%20QUALITY%20REQUIREMENTS%20MANUAL.pd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ED7B9DDB74673B95FB08D1F213D0B"/>
        <w:category>
          <w:name w:val="General"/>
          <w:gallery w:val="placeholder"/>
        </w:category>
        <w:types>
          <w:type w:val="bbPlcHdr"/>
        </w:types>
        <w:behaviors>
          <w:behavior w:val="content"/>
        </w:behaviors>
        <w:guid w:val="{29283A80-4D23-46A7-B0A6-E11C0DF4F00A}"/>
      </w:docPartPr>
      <w:docPartBody>
        <w:p w:rsidR="006E03F9" w:rsidRDefault="00F45A4A" w:rsidP="00F45A4A">
          <w:pPr>
            <w:pStyle w:val="60BED7B9DDB74673B95FB08D1F213D0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A4A"/>
    <w:rsid w:val="00094047"/>
    <w:rsid w:val="001208B6"/>
    <w:rsid w:val="003552B3"/>
    <w:rsid w:val="00357A51"/>
    <w:rsid w:val="006E03F9"/>
    <w:rsid w:val="00F4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BED7B9DDB74673B95FB08D1F213D0B">
    <w:name w:val="60BED7B9DDB74673B95FB08D1F213D0B"/>
    <w:rsid w:val="00F45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45F9-8914-40BB-9415-C6C22829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5771</Characters>
  <Application>Microsoft Office Word</Application>
  <DocSecurity>0</DocSecurity>
  <Lines>443</Lines>
  <Paragraphs>243</Paragraphs>
  <ScaleCrop>false</ScaleCrop>
  <HeadingPairs>
    <vt:vector size="2" baseType="variant">
      <vt:variant>
        <vt:lpstr>Title</vt:lpstr>
      </vt:variant>
      <vt:variant>
        <vt:i4>1</vt:i4>
      </vt:variant>
    </vt:vector>
  </HeadingPairs>
  <TitlesOfParts>
    <vt:vector size="1" baseType="lpstr">
      <vt:lpstr>CFN Supplier Flow Down: End user UTAS</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CFN Supplier Flow Down: End user UTAS</dc:title>
  <dc:creator>Jim Gould</dc:creator>
  <cp:lastModifiedBy>Jaspinder Singh</cp:lastModifiedBy>
  <cp:revision>2</cp:revision>
  <dcterms:created xsi:type="dcterms:W3CDTF">2026-04-23T11:00:00Z</dcterms:created>
  <dcterms:modified xsi:type="dcterms:W3CDTF">2026-04-23T11:00:00Z</dcterms:modified>
</cp:coreProperties>
</file>